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13"/>
        <w:gridCol w:w="6136"/>
      </w:tblGrid>
      <w:tr w:rsidR="00A63F05" w:rsidRPr="00A63F05" w:rsidTr="00A63F05">
        <w:trPr>
          <w:trHeight w:val="1155"/>
        </w:trPr>
        <w:tc>
          <w:tcPr>
            <w:tcW w:w="3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ỦY BAN THƯỜNG VỤ</w:t>
            </w: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QUỐC HỘI</w:t>
            </w: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--------</w:t>
            </w:r>
          </w:p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Nghị quyết số: 579/2018/UBTVQH14</w:t>
            </w:r>
          </w:p>
        </w:tc>
        <w:tc>
          <w:tcPr>
            <w:tcW w:w="6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Độc lập - Tự do - Hạnh phúc</w:t>
            </w: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---------------</w:t>
            </w:r>
          </w:p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Hà Nội, ngày 26 tháng 9 năm 2018</w:t>
            </w:r>
          </w:p>
        </w:tc>
      </w:tr>
    </w:tbl>
    <w:p w:rsidR="00A63F05" w:rsidRPr="00A63F05" w:rsidRDefault="00A63F05" w:rsidP="00A63F0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A63F05">
        <w:rPr>
          <w:rFonts w:eastAsia="Times New Roman" w:cs="Times New Roman"/>
          <w:sz w:val="24"/>
          <w:szCs w:val="24"/>
        </w:rPr>
        <w:t> </w:t>
      </w:r>
    </w:p>
    <w:p w:rsidR="00A63F05" w:rsidRPr="00A63F05" w:rsidRDefault="00A63F05" w:rsidP="00A63F0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A63F05">
        <w:rPr>
          <w:rFonts w:eastAsia="Times New Roman" w:cs="Times New Roman"/>
          <w:sz w:val="24"/>
          <w:szCs w:val="24"/>
        </w:rPr>
        <w:t> </w:t>
      </w:r>
    </w:p>
    <w:p w:rsidR="00A63F05" w:rsidRPr="00A63F05" w:rsidRDefault="00A63F05" w:rsidP="00A63F0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A63F05">
        <w:rPr>
          <w:rFonts w:ascii="Arial" w:eastAsia="Times New Roman" w:hAnsi="Arial" w:cs="Arial"/>
          <w:b/>
          <w:bCs/>
          <w:sz w:val="20"/>
          <w:szCs w:val="20"/>
        </w:rPr>
        <w:t>NGHỊ QUYẾT</w:t>
      </w:r>
    </w:p>
    <w:p w:rsidR="00A63F05" w:rsidRPr="00A63F05" w:rsidRDefault="00A63F05" w:rsidP="00A63F0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A63F05">
        <w:rPr>
          <w:rFonts w:ascii="Arial" w:eastAsia="Times New Roman" w:hAnsi="Arial" w:cs="Arial"/>
          <w:b/>
          <w:bCs/>
          <w:sz w:val="20"/>
          <w:szCs w:val="20"/>
        </w:rPr>
        <w:t>VỀ BIỂU THUẾ BẢO VỆ MÔI TRƯỜNG</w:t>
      </w:r>
    </w:p>
    <w:p w:rsidR="00A63F05" w:rsidRPr="00A63F05" w:rsidRDefault="00A63F05" w:rsidP="00A63F0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A63F05">
        <w:rPr>
          <w:rFonts w:ascii="Arial" w:eastAsia="Times New Roman" w:hAnsi="Arial" w:cs="Arial"/>
          <w:sz w:val="20"/>
          <w:szCs w:val="20"/>
        </w:rPr>
        <w:t>--------------------</w:t>
      </w:r>
    </w:p>
    <w:p w:rsidR="00A63F05" w:rsidRPr="00A63F05" w:rsidRDefault="00A63F05" w:rsidP="00A63F0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A63F05">
        <w:rPr>
          <w:rFonts w:ascii="Arial" w:eastAsia="Times New Roman" w:hAnsi="Arial" w:cs="Arial"/>
          <w:sz w:val="20"/>
          <w:szCs w:val="20"/>
        </w:rPr>
        <w:t>ỦY BAN THƯỜNG VỤ QUỐC HỘI</w:t>
      </w:r>
    </w:p>
    <w:p w:rsidR="00A63F05" w:rsidRPr="00A63F05" w:rsidRDefault="00A63F05" w:rsidP="00A63F0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A63F05">
        <w:rPr>
          <w:rFonts w:eastAsia="Times New Roman" w:cs="Times New Roman"/>
          <w:sz w:val="24"/>
          <w:szCs w:val="24"/>
        </w:rPr>
        <w:t> </w:t>
      </w:r>
    </w:p>
    <w:p w:rsidR="00A63F05" w:rsidRPr="00A63F05" w:rsidRDefault="00A63F05" w:rsidP="00A63F05">
      <w:pPr>
        <w:spacing w:before="100" w:beforeAutospacing="1" w:after="12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A63F05">
        <w:rPr>
          <w:rFonts w:ascii="Arial" w:eastAsia="Times New Roman" w:hAnsi="Arial" w:cs="Arial"/>
          <w:i/>
          <w:iCs/>
          <w:sz w:val="20"/>
          <w:szCs w:val="20"/>
        </w:rPr>
        <w:t xml:space="preserve">Căn cứ </w:t>
      </w:r>
      <w:hyperlink r:id="rId4" w:tgtFrame="_blank" w:history="1">
        <w:r w:rsidRPr="00A63F05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</w:rPr>
          <w:t>Hiến pháp nước Cộng hòa xã hội chủ nghĩa Việt Nam</w:t>
        </w:r>
      </w:hyperlink>
      <w:r w:rsidRPr="00A63F05">
        <w:rPr>
          <w:rFonts w:ascii="Arial" w:eastAsia="Times New Roman" w:hAnsi="Arial" w:cs="Arial"/>
          <w:i/>
          <w:iCs/>
          <w:sz w:val="20"/>
          <w:szCs w:val="20"/>
        </w:rPr>
        <w:t xml:space="preserve">; </w:t>
      </w:r>
    </w:p>
    <w:p w:rsidR="00A63F05" w:rsidRPr="00A63F05" w:rsidRDefault="00A63F05" w:rsidP="00A63F05">
      <w:pPr>
        <w:spacing w:before="100" w:beforeAutospacing="1" w:after="12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A63F05">
        <w:rPr>
          <w:rFonts w:ascii="Arial" w:eastAsia="Times New Roman" w:hAnsi="Arial" w:cs="Arial"/>
          <w:i/>
          <w:iCs/>
          <w:sz w:val="20"/>
          <w:szCs w:val="20"/>
        </w:rPr>
        <w:t xml:space="preserve">Căn cứ </w:t>
      </w:r>
      <w:hyperlink r:id="rId5" w:tgtFrame="_blank" w:history="1">
        <w:r w:rsidRPr="00A63F05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</w:rPr>
          <w:t>Luật Tổ chức Quốc hội số 57/2014/QH13</w:t>
        </w:r>
      </w:hyperlink>
      <w:r w:rsidRPr="00A63F05">
        <w:rPr>
          <w:rFonts w:ascii="Arial" w:eastAsia="Times New Roman" w:hAnsi="Arial" w:cs="Arial"/>
          <w:i/>
          <w:iCs/>
          <w:sz w:val="20"/>
          <w:szCs w:val="20"/>
        </w:rPr>
        <w:t>;</w:t>
      </w:r>
    </w:p>
    <w:p w:rsidR="00A63F05" w:rsidRPr="00A63F05" w:rsidRDefault="00A63F05" w:rsidP="00A63F05">
      <w:pPr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A63F05">
        <w:rPr>
          <w:rFonts w:ascii="Arial" w:eastAsia="Times New Roman" w:hAnsi="Arial" w:cs="Arial"/>
          <w:i/>
          <w:iCs/>
          <w:sz w:val="20"/>
          <w:szCs w:val="20"/>
        </w:rPr>
        <w:t xml:space="preserve">Căn cứ </w:t>
      </w:r>
      <w:hyperlink r:id="rId6" w:tgtFrame="_blank" w:history="1">
        <w:r w:rsidRPr="00A63F05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</w:rPr>
          <w:t>Luật Thuế bảo vệ môi trường số 57/2010/QH12</w:t>
        </w:r>
      </w:hyperlink>
      <w:r w:rsidRPr="00A63F05">
        <w:rPr>
          <w:rFonts w:ascii="Arial" w:eastAsia="Times New Roman" w:hAnsi="Arial" w:cs="Arial"/>
          <w:i/>
          <w:iCs/>
          <w:sz w:val="20"/>
          <w:szCs w:val="20"/>
        </w:rPr>
        <w:t>;</w:t>
      </w:r>
    </w:p>
    <w:p w:rsidR="00A63F05" w:rsidRPr="00A63F05" w:rsidRDefault="00A63F05" w:rsidP="00A63F05">
      <w:pPr>
        <w:spacing w:before="100" w:beforeAutospacing="1" w:after="100" w:afterAutospacing="1" w:line="240" w:lineRule="auto"/>
        <w:ind w:firstLine="720"/>
        <w:jc w:val="center"/>
        <w:rPr>
          <w:rFonts w:eastAsia="Times New Roman" w:cs="Times New Roman"/>
          <w:sz w:val="24"/>
          <w:szCs w:val="24"/>
        </w:rPr>
      </w:pPr>
      <w:r w:rsidRPr="00A63F05">
        <w:rPr>
          <w:rFonts w:eastAsia="Times New Roman" w:cs="Times New Roman"/>
          <w:sz w:val="24"/>
          <w:szCs w:val="24"/>
        </w:rPr>
        <w:t> </w:t>
      </w:r>
    </w:p>
    <w:p w:rsidR="00A63F05" w:rsidRPr="00A63F05" w:rsidRDefault="00A63F05" w:rsidP="00A63F05">
      <w:pPr>
        <w:spacing w:before="100" w:beforeAutospacing="1" w:after="100" w:afterAutospacing="1" w:line="240" w:lineRule="auto"/>
        <w:ind w:firstLine="720"/>
        <w:jc w:val="center"/>
        <w:rPr>
          <w:rFonts w:eastAsia="Times New Roman" w:cs="Times New Roman"/>
          <w:sz w:val="24"/>
          <w:szCs w:val="24"/>
        </w:rPr>
      </w:pPr>
      <w:r w:rsidRPr="00A63F05">
        <w:rPr>
          <w:rFonts w:ascii="Arial" w:eastAsia="Times New Roman" w:hAnsi="Arial" w:cs="Arial"/>
          <w:b/>
          <w:bCs/>
          <w:sz w:val="20"/>
          <w:szCs w:val="20"/>
        </w:rPr>
        <w:t>QUYẾT NGHỊ:</w:t>
      </w:r>
    </w:p>
    <w:p w:rsidR="00A63F05" w:rsidRPr="00A63F05" w:rsidRDefault="00A63F05" w:rsidP="00A63F05">
      <w:pPr>
        <w:spacing w:before="100" w:beforeAutospacing="1" w:after="100" w:afterAutospacing="1" w:line="240" w:lineRule="auto"/>
        <w:ind w:firstLine="720"/>
        <w:jc w:val="center"/>
        <w:rPr>
          <w:rFonts w:eastAsia="Times New Roman" w:cs="Times New Roman"/>
          <w:sz w:val="24"/>
          <w:szCs w:val="24"/>
        </w:rPr>
      </w:pPr>
      <w:r w:rsidRPr="00A63F05">
        <w:rPr>
          <w:rFonts w:eastAsia="Times New Roman" w:cs="Times New Roman"/>
          <w:sz w:val="24"/>
          <w:szCs w:val="24"/>
        </w:rPr>
        <w:t> </w:t>
      </w:r>
    </w:p>
    <w:p w:rsidR="00A63F05" w:rsidRPr="00A63F05" w:rsidRDefault="00A63F05" w:rsidP="00A63F05">
      <w:pPr>
        <w:spacing w:before="100" w:beforeAutospacing="1" w:after="12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proofErr w:type="gramStart"/>
      <w:r w:rsidRPr="00A63F05">
        <w:rPr>
          <w:rFonts w:ascii="Arial" w:eastAsia="Times New Roman" w:hAnsi="Arial" w:cs="Arial"/>
          <w:b/>
          <w:bCs/>
          <w:sz w:val="20"/>
          <w:szCs w:val="20"/>
        </w:rPr>
        <w:t>Điều 1.</w:t>
      </w:r>
      <w:proofErr w:type="gramEnd"/>
      <w:r w:rsidRPr="00A63F05">
        <w:rPr>
          <w:rFonts w:ascii="Arial" w:eastAsia="Times New Roman" w:hAnsi="Arial" w:cs="Arial"/>
          <w:b/>
          <w:bCs/>
          <w:sz w:val="20"/>
          <w:szCs w:val="20"/>
        </w:rPr>
        <w:t xml:space="preserve"> Biểu thuế bảo vệ môi trường</w:t>
      </w:r>
    </w:p>
    <w:p w:rsidR="00A63F05" w:rsidRPr="00A63F05" w:rsidRDefault="00A63F05" w:rsidP="00A63F05">
      <w:pPr>
        <w:spacing w:before="100" w:beforeAutospacing="1" w:after="12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A63F05">
        <w:rPr>
          <w:rFonts w:ascii="Arial" w:eastAsia="Times New Roman" w:hAnsi="Arial" w:cs="Arial"/>
          <w:sz w:val="20"/>
          <w:szCs w:val="20"/>
        </w:rPr>
        <w:t>1. Mức thuế bảo vệ môi trường được quy định cụ thể như sau: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99"/>
        <w:gridCol w:w="6008"/>
        <w:gridCol w:w="967"/>
        <w:gridCol w:w="1699"/>
      </w:tblGrid>
      <w:tr w:rsidR="00A63F05" w:rsidRPr="00A63F05" w:rsidTr="00A63F05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6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Hàng hóa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Đơn vị tính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Mức thuế (đồng/đơn vị hàng hóa)</w:t>
            </w:r>
          </w:p>
        </w:tc>
      </w:tr>
      <w:tr w:rsidR="00A63F05" w:rsidRPr="00A63F05" w:rsidTr="00A63F05">
        <w:trPr>
          <w:tblCellSpacing w:w="0" w:type="dxa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Xăng, dầu, mỡ nhờn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A63F05" w:rsidRPr="00A63F05" w:rsidTr="00A63F05">
        <w:trPr>
          <w:tblCellSpacing w:w="0" w:type="dxa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>Xăng</w:t>
            </w:r>
            <w:proofErr w:type="spellEnd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>trừ</w:t>
            </w:r>
            <w:proofErr w:type="spellEnd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>etanol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lít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4.000</w:t>
            </w:r>
          </w:p>
        </w:tc>
      </w:tr>
      <w:tr w:rsidR="00A63F05" w:rsidRPr="00A63F05" w:rsidTr="00A63F05">
        <w:trPr>
          <w:tblCellSpacing w:w="0" w:type="dxa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Nhiên liệu bay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lít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3.000</w:t>
            </w:r>
          </w:p>
        </w:tc>
      </w:tr>
      <w:tr w:rsidR="00A63F05" w:rsidRPr="00A63F05" w:rsidTr="00A63F05">
        <w:trPr>
          <w:tblCellSpacing w:w="0" w:type="dxa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Dầu diesel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lít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2.000</w:t>
            </w:r>
          </w:p>
        </w:tc>
      </w:tr>
      <w:tr w:rsidR="00A63F05" w:rsidRPr="00A63F05" w:rsidTr="00A63F05">
        <w:trPr>
          <w:tblCellSpacing w:w="0" w:type="dxa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Dầu hỏa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lít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1.000</w:t>
            </w:r>
          </w:p>
        </w:tc>
      </w:tr>
      <w:tr w:rsidR="00A63F05" w:rsidRPr="00A63F05" w:rsidTr="00A63F05">
        <w:trPr>
          <w:tblCellSpacing w:w="0" w:type="dxa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>Dầu</w:t>
            </w:r>
            <w:proofErr w:type="spellEnd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>mazut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lít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2.000</w:t>
            </w:r>
          </w:p>
        </w:tc>
      </w:tr>
      <w:tr w:rsidR="00A63F05" w:rsidRPr="00A63F05" w:rsidTr="00A63F05">
        <w:trPr>
          <w:tblCellSpacing w:w="0" w:type="dxa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Dầu nhờn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lít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2.000</w:t>
            </w:r>
          </w:p>
        </w:tc>
      </w:tr>
      <w:tr w:rsidR="00A63F05" w:rsidRPr="00A63F05" w:rsidTr="00A63F05">
        <w:trPr>
          <w:tblCellSpacing w:w="0" w:type="dxa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Mỡ nhờn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2.000</w:t>
            </w:r>
          </w:p>
        </w:tc>
      </w:tr>
      <w:tr w:rsidR="00A63F05" w:rsidRPr="00A63F05" w:rsidTr="00A63F05">
        <w:trPr>
          <w:tblCellSpacing w:w="0" w:type="dxa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Than đá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A63F05" w:rsidRPr="00A63F05" w:rsidTr="00A63F05">
        <w:trPr>
          <w:tblCellSpacing w:w="0" w:type="dxa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Than nâu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tấn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15.000</w:t>
            </w:r>
          </w:p>
        </w:tc>
      </w:tr>
      <w:tr w:rsidR="00A63F05" w:rsidRPr="00A63F05" w:rsidTr="00A63F05">
        <w:trPr>
          <w:tblCellSpacing w:w="0" w:type="dxa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 xml:space="preserve">Than an - tra - </w:t>
            </w:r>
            <w:proofErr w:type="spellStart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>xít</w:t>
            </w:r>
            <w:proofErr w:type="spellEnd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>antraxit</w:t>
            </w:r>
            <w:proofErr w:type="spellEnd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tấn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30.000</w:t>
            </w:r>
          </w:p>
        </w:tc>
      </w:tr>
      <w:tr w:rsidR="00A63F05" w:rsidRPr="00A63F05" w:rsidTr="00A63F05">
        <w:trPr>
          <w:tblCellSpacing w:w="0" w:type="dxa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Than mỡ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tấn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15.000</w:t>
            </w:r>
          </w:p>
        </w:tc>
      </w:tr>
      <w:tr w:rsidR="00A63F05" w:rsidRPr="00A63F05" w:rsidTr="00A63F05">
        <w:trPr>
          <w:tblCellSpacing w:w="0" w:type="dxa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Than đá khác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tấn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15.000</w:t>
            </w:r>
          </w:p>
        </w:tc>
      </w:tr>
      <w:tr w:rsidR="00A63F05" w:rsidRPr="00A63F05" w:rsidTr="00A63F05">
        <w:trPr>
          <w:tblCellSpacing w:w="0" w:type="dxa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Dung </w:t>
            </w:r>
            <w:proofErr w:type="spellStart"/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dịch</w:t>
            </w:r>
            <w:proofErr w:type="spellEnd"/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Hydro-</w:t>
            </w:r>
            <w:proofErr w:type="spellStart"/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chloro</w:t>
            </w:r>
            <w:proofErr w:type="spellEnd"/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fluoro</w:t>
            </w:r>
            <w:proofErr w:type="spellEnd"/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-carbon (HCFC), </w:t>
            </w:r>
            <w:proofErr w:type="spellStart"/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bao</w:t>
            </w:r>
            <w:proofErr w:type="spellEnd"/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gồm</w:t>
            </w:r>
            <w:proofErr w:type="spellEnd"/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cả dung dịch HCFC có trong hỗn hợp chứa dung dịch HCFC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5.000</w:t>
            </w:r>
          </w:p>
        </w:tc>
      </w:tr>
      <w:tr w:rsidR="00A63F05" w:rsidRPr="00A63F05" w:rsidTr="00A63F05">
        <w:trPr>
          <w:tblCellSpacing w:w="0" w:type="dxa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Túi ni lông thuộc diện chịu thuế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50.000</w:t>
            </w:r>
          </w:p>
        </w:tc>
      </w:tr>
      <w:tr w:rsidR="00A63F05" w:rsidRPr="00A63F05" w:rsidTr="00A63F05">
        <w:trPr>
          <w:tblCellSpacing w:w="0" w:type="dxa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Thuốc diệt cỏ thuộc loại hạn chế sử dụng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</w:tr>
      <w:tr w:rsidR="00A63F05" w:rsidRPr="00A63F05" w:rsidTr="00A63F05">
        <w:trPr>
          <w:tblCellSpacing w:w="0" w:type="dxa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VI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Thuốc trừ mối thuộc loại hạn chế sử dụng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1.000</w:t>
            </w:r>
          </w:p>
        </w:tc>
      </w:tr>
      <w:tr w:rsidR="00A63F05" w:rsidRPr="00A63F05" w:rsidTr="00A63F05">
        <w:trPr>
          <w:tblCellSpacing w:w="0" w:type="dxa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Thuốc bảo quản lâm sản thuộc loại hạn chế sử dụng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1.000</w:t>
            </w:r>
          </w:p>
        </w:tc>
      </w:tr>
      <w:tr w:rsidR="00A63F05" w:rsidRPr="00A63F05" w:rsidTr="00A63F05">
        <w:trPr>
          <w:tblCellSpacing w:w="0" w:type="dxa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Thuốc khử trùng kho thuộc loại hạn chế sử dụng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1.000</w:t>
            </w:r>
          </w:p>
        </w:tc>
      </w:tr>
    </w:tbl>
    <w:p w:rsidR="00A63F05" w:rsidRPr="00A63F05" w:rsidRDefault="00A63F05" w:rsidP="00A63F05">
      <w:pPr>
        <w:spacing w:before="100" w:beforeAutospacing="1" w:after="12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A63F05">
        <w:rPr>
          <w:rFonts w:ascii="Arial" w:eastAsia="Times New Roman" w:hAnsi="Arial" w:cs="Arial"/>
          <w:sz w:val="20"/>
          <w:szCs w:val="20"/>
        </w:rPr>
        <w:t xml:space="preserve">2. Hàng hóa tại các mục VI, VII và VIII quy định tại khoản 1 Điều này được quy định chi tiết tại Phụ lục kèm </w:t>
      </w:r>
      <w:proofErr w:type="gramStart"/>
      <w:r w:rsidRPr="00A63F05">
        <w:rPr>
          <w:rFonts w:ascii="Arial" w:eastAsia="Times New Roman" w:hAnsi="Arial" w:cs="Arial"/>
          <w:sz w:val="20"/>
          <w:szCs w:val="20"/>
        </w:rPr>
        <w:t>theo</w:t>
      </w:r>
      <w:proofErr w:type="gramEnd"/>
      <w:r w:rsidRPr="00A63F05">
        <w:rPr>
          <w:rFonts w:ascii="Arial" w:eastAsia="Times New Roman" w:hAnsi="Arial" w:cs="Arial"/>
          <w:sz w:val="20"/>
          <w:szCs w:val="20"/>
        </w:rPr>
        <w:t xml:space="preserve"> Nghị quyết này.</w:t>
      </w:r>
    </w:p>
    <w:p w:rsidR="00A63F05" w:rsidRPr="00A63F05" w:rsidRDefault="00A63F05" w:rsidP="00A63F05">
      <w:pPr>
        <w:spacing w:before="100" w:beforeAutospacing="1" w:after="12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proofErr w:type="gramStart"/>
      <w:r w:rsidRPr="00A63F05">
        <w:rPr>
          <w:rFonts w:ascii="Arial" w:eastAsia="Times New Roman" w:hAnsi="Arial" w:cs="Arial"/>
          <w:b/>
          <w:bCs/>
          <w:sz w:val="20"/>
          <w:szCs w:val="20"/>
        </w:rPr>
        <w:t>Điều 2.</w:t>
      </w:r>
      <w:proofErr w:type="gramEnd"/>
      <w:r w:rsidRPr="00A63F05">
        <w:rPr>
          <w:rFonts w:ascii="Arial" w:eastAsia="Times New Roman" w:hAnsi="Arial" w:cs="Arial"/>
          <w:b/>
          <w:bCs/>
          <w:sz w:val="20"/>
          <w:szCs w:val="20"/>
        </w:rPr>
        <w:t xml:space="preserve"> Hiệu lực thi hành</w:t>
      </w:r>
    </w:p>
    <w:p w:rsidR="00A63F05" w:rsidRPr="00A63F05" w:rsidRDefault="00A63F05" w:rsidP="00A63F05">
      <w:pPr>
        <w:spacing w:before="100" w:beforeAutospacing="1" w:after="12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A63F05">
        <w:rPr>
          <w:rFonts w:ascii="Arial" w:eastAsia="Times New Roman" w:hAnsi="Arial" w:cs="Arial"/>
          <w:sz w:val="20"/>
          <w:szCs w:val="20"/>
        </w:rPr>
        <w:t>1. Nghị quyết này có hiệu lực thi hành từ ngày 01 tháng 01 năm 2019.</w:t>
      </w:r>
    </w:p>
    <w:p w:rsidR="00A63F05" w:rsidRPr="00A63F05" w:rsidRDefault="00A63F05" w:rsidP="00A63F05">
      <w:pPr>
        <w:spacing w:before="100" w:beforeAutospacing="1" w:after="12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A63F05">
        <w:rPr>
          <w:rFonts w:ascii="Arial" w:eastAsia="Times New Roman" w:hAnsi="Arial" w:cs="Arial"/>
          <w:sz w:val="20"/>
          <w:szCs w:val="20"/>
        </w:rPr>
        <w:t xml:space="preserve">2. </w:t>
      </w:r>
      <w:hyperlink r:id="rId7" w:tgtFrame="_blank" w:history="1">
        <w:r w:rsidRPr="00A63F0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Nghị quyết số 1269/2011/UBTVQH12 ngày 14 tháng 7 năm 2011 của Ủy ban Thường vụ Quốc hội về Biểu thuế bảo vệ môi trường</w:t>
        </w:r>
      </w:hyperlink>
      <w:r w:rsidRPr="00A63F05">
        <w:rPr>
          <w:rFonts w:ascii="Arial" w:eastAsia="Times New Roman" w:hAnsi="Arial" w:cs="Arial"/>
          <w:sz w:val="20"/>
          <w:szCs w:val="20"/>
        </w:rPr>
        <w:t xml:space="preserve"> đã được sửa đổi, bổ sung theo Nghị quyết số 888a/2015/UBTVQH13 ngày 10 tháng 3 năm 2015 hết hiệu lực thi hành kể từ ngày Nghị quyết này có hiệu lực thi hành</w:t>
      </w:r>
      <w:proofErr w:type="gramStart"/>
      <w:r w:rsidRPr="00A63F05">
        <w:rPr>
          <w:rFonts w:ascii="Arial" w:eastAsia="Times New Roman" w:hAnsi="Arial" w:cs="Arial"/>
          <w:sz w:val="20"/>
          <w:szCs w:val="20"/>
        </w:rPr>
        <w:t>./</w:t>
      </w:r>
      <w:proofErr w:type="gramEnd"/>
      <w:r w:rsidRPr="00A63F05">
        <w:rPr>
          <w:rFonts w:ascii="Arial" w:eastAsia="Times New Roman" w:hAnsi="Arial" w:cs="Arial"/>
          <w:sz w:val="20"/>
          <w:szCs w:val="20"/>
        </w:rPr>
        <w:t>.</w:t>
      </w:r>
    </w:p>
    <w:p w:rsidR="00A63F05" w:rsidRPr="00A63F05" w:rsidRDefault="00A63F05" w:rsidP="00A63F0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A63F05">
        <w:rPr>
          <w:rFonts w:eastAsia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147"/>
        <w:gridCol w:w="5402"/>
      </w:tblGrid>
      <w:tr w:rsidR="00A63F05" w:rsidRPr="00A63F05" w:rsidTr="00A63F05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TM. ỦY BAN THƯỜNG VỤ QUỐC HỘI</w:t>
            </w: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CHỦ TỊCH</w:t>
            </w: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Nguyễn</w:t>
            </w:r>
            <w:proofErr w:type="spellEnd"/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Thị</w:t>
            </w:r>
            <w:proofErr w:type="spellEnd"/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Kim </w:t>
            </w:r>
            <w:proofErr w:type="spellStart"/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Ngân</w:t>
            </w:r>
            <w:proofErr w:type="spellEnd"/>
          </w:p>
        </w:tc>
      </w:tr>
    </w:tbl>
    <w:p w:rsidR="00A63F05" w:rsidRPr="00A63F05" w:rsidRDefault="00A63F05" w:rsidP="00A63F0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A63F05">
        <w:rPr>
          <w:rFonts w:eastAsia="Times New Roman" w:cs="Times New Roman"/>
          <w:sz w:val="24"/>
          <w:szCs w:val="24"/>
        </w:rPr>
        <w:t> </w:t>
      </w:r>
    </w:p>
    <w:p w:rsidR="00A63F05" w:rsidRPr="00A63F05" w:rsidRDefault="00A63F05" w:rsidP="00A63F0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A63F05">
        <w:rPr>
          <w:rFonts w:ascii="Arial" w:eastAsia="Times New Roman" w:hAnsi="Arial" w:cs="Arial"/>
          <w:b/>
          <w:bCs/>
          <w:sz w:val="20"/>
          <w:szCs w:val="20"/>
        </w:rPr>
        <w:t>PHỤ LỤC</w:t>
      </w:r>
    </w:p>
    <w:p w:rsidR="00A63F05" w:rsidRPr="00A63F05" w:rsidRDefault="00A63F05" w:rsidP="00A63F0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A63F05">
        <w:rPr>
          <w:rFonts w:ascii="Arial" w:eastAsia="Times New Roman" w:hAnsi="Arial" w:cs="Arial"/>
          <w:i/>
          <w:iCs/>
          <w:sz w:val="20"/>
          <w:szCs w:val="20"/>
        </w:rPr>
        <w:t>(Ban hành kèm theo Nghị quyết số 579/2018/UBTVQH14 ngày 26 tháng 9 năm 2018 của Ủy ban Thường vụ Quốc hội về Biểu thuế bảo vệ môi trường)</w:t>
      </w:r>
    </w:p>
    <w:p w:rsidR="00A63F05" w:rsidRPr="00A63F05" w:rsidRDefault="00A63F05" w:rsidP="00A63F0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A63F05">
        <w:rPr>
          <w:rFonts w:eastAsia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5665"/>
        <w:gridCol w:w="2983"/>
      </w:tblGrid>
      <w:tr w:rsidR="00A63F05" w:rsidRPr="00A63F05" w:rsidTr="00A63F05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Tên hoạt chất - nguyên liệu</w:t>
            </w:r>
          </w:p>
        </w:tc>
        <w:tc>
          <w:tcPr>
            <w:tcW w:w="2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Tên thương phẩm</w:t>
            </w:r>
          </w:p>
        </w:tc>
      </w:tr>
      <w:tr w:rsidR="00A63F05" w:rsidRPr="00A63F05" w:rsidTr="00A63F05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Thuốc trừ mối thuộc loại hạn chế sử dụng</w:t>
            </w:r>
          </w:p>
        </w:tc>
      </w:tr>
      <w:tr w:rsidR="00A63F05" w:rsidRPr="00A63F05" w:rsidTr="00A63F05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r w:rsidRPr="00A63F0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SiF</w:t>
            </w:r>
            <w:r w:rsidRPr="00A63F0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A63F05">
              <w:rPr>
                <w:rFonts w:ascii="Arial" w:eastAsia="Times New Roman" w:hAnsi="Arial" w:cs="Arial"/>
                <w:sz w:val="20"/>
                <w:szCs w:val="20"/>
              </w:rPr>
              <w:t xml:space="preserve"> 50% + HBO</w:t>
            </w:r>
            <w:r w:rsidRPr="00A63F0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A63F05">
              <w:rPr>
                <w:rFonts w:ascii="Arial" w:eastAsia="Times New Roman" w:hAnsi="Arial" w:cs="Arial"/>
                <w:sz w:val="20"/>
                <w:szCs w:val="20"/>
              </w:rPr>
              <w:t xml:space="preserve"> 10% + CuSO</w:t>
            </w:r>
            <w:r w:rsidRPr="00A63F0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A63F05">
              <w:rPr>
                <w:rFonts w:ascii="Arial" w:eastAsia="Times New Roman" w:hAnsi="Arial" w:cs="Arial"/>
                <w:sz w:val="20"/>
                <w:szCs w:val="20"/>
              </w:rPr>
              <w:t xml:space="preserve"> 30%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PMC 90 DP</w:t>
            </w:r>
          </w:p>
        </w:tc>
      </w:tr>
      <w:tr w:rsidR="00A63F05" w:rsidRPr="00A63F05" w:rsidTr="00A63F05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r w:rsidRPr="00A63F0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SiF6 80 % + ZnCl</w:t>
            </w:r>
            <w:r w:rsidRPr="00A63F0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A63F05">
              <w:rPr>
                <w:rFonts w:ascii="Arial" w:eastAsia="Times New Roman" w:hAnsi="Arial" w:cs="Arial"/>
                <w:sz w:val="20"/>
                <w:szCs w:val="20"/>
              </w:rPr>
              <w:t xml:space="preserve"> 20 %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PMs 100 CP</w:t>
            </w:r>
          </w:p>
        </w:tc>
      </w:tr>
      <w:tr w:rsidR="00A63F05" w:rsidRPr="00A63F05" w:rsidTr="00A63F05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8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Thuốc bảo quản lâm sản thuộc loại hạn chế sử dụng</w:t>
            </w:r>
          </w:p>
        </w:tc>
      </w:tr>
      <w:tr w:rsidR="00A63F05" w:rsidRPr="00A63F05" w:rsidTr="00A63F05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CuSO</w:t>
            </w:r>
            <w:r w:rsidRPr="00A63F0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A63F05">
              <w:rPr>
                <w:rFonts w:ascii="Arial" w:eastAsia="Times New Roman" w:hAnsi="Arial" w:cs="Arial"/>
                <w:sz w:val="20"/>
                <w:szCs w:val="20"/>
              </w:rPr>
              <w:t xml:space="preserve"> 50 % + K</w:t>
            </w:r>
            <w:r w:rsidRPr="00A63F0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Cr</w:t>
            </w:r>
            <w:r w:rsidRPr="00A63F0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A63F0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A63F05">
              <w:rPr>
                <w:rFonts w:ascii="Arial" w:eastAsia="Times New Roman" w:hAnsi="Arial" w:cs="Arial"/>
                <w:sz w:val="20"/>
                <w:szCs w:val="20"/>
              </w:rPr>
              <w:t xml:space="preserve"> 50 %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XM</w:t>
            </w:r>
            <w:r w:rsidRPr="00A63F0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A63F05">
              <w:rPr>
                <w:rFonts w:ascii="Arial" w:eastAsia="Times New Roman" w:hAnsi="Arial" w:cs="Arial"/>
                <w:sz w:val="20"/>
                <w:szCs w:val="20"/>
              </w:rPr>
              <w:t xml:space="preserve"> 100 bột</w:t>
            </w:r>
          </w:p>
        </w:tc>
      </w:tr>
      <w:tr w:rsidR="00A63F05" w:rsidRPr="00A63F05" w:rsidTr="00A63F05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ZnSO</w:t>
            </w:r>
            <w:r w:rsidRPr="00A63F0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A63F05">
              <w:rPr>
                <w:rFonts w:ascii="Arial" w:eastAsia="Times New Roman" w:hAnsi="Arial" w:cs="Arial"/>
                <w:sz w:val="20"/>
                <w:szCs w:val="20"/>
              </w:rPr>
              <w:t xml:space="preserve"> .7H</w:t>
            </w:r>
            <w:r w:rsidRPr="00A63F0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A63F05">
              <w:rPr>
                <w:rFonts w:ascii="Arial" w:eastAsia="Times New Roman" w:hAnsi="Arial" w:cs="Arial"/>
                <w:sz w:val="20"/>
                <w:szCs w:val="20"/>
              </w:rPr>
              <w:t xml:space="preserve">O 60% + </w:t>
            </w:r>
            <w:proofErr w:type="spellStart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>NaF</w:t>
            </w:r>
            <w:proofErr w:type="spellEnd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 xml:space="preserve"> 30% + </w:t>
            </w:r>
            <w:proofErr w:type="spellStart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>phụ</w:t>
            </w:r>
            <w:proofErr w:type="spellEnd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 xml:space="preserve"> gia 10%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 xml:space="preserve">LN </w:t>
            </w:r>
            <w:r w:rsidRPr="00A63F0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A63F05">
              <w:rPr>
                <w:rFonts w:ascii="Arial" w:eastAsia="Times New Roman" w:hAnsi="Arial" w:cs="Arial"/>
                <w:sz w:val="20"/>
                <w:szCs w:val="20"/>
              </w:rPr>
              <w:t xml:space="preserve"> 90 bột</w:t>
            </w:r>
          </w:p>
        </w:tc>
      </w:tr>
      <w:tr w:rsidR="00A63F05" w:rsidRPr="00A63F05" w:rsidTr="00A63F05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Thuốc khử trùng kho thuộc loại hạn chế sử dụng</w:t>
            </w:r>
          </w:p>
        </w:tc>
      </w:tr>
      <w:tr w:rsidR="00A63F05" w:rsidRPr="00A63F05" w:rsidTr="00A63F05">
        <w:tc>
          <w:tcPr>
            <w:tcW w:w="7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>Aluminium</w:t>
            </w:r>
            <w:proofErr w:type="spellEnd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>Phosphide</w:t>
            </w:r>
            <w:proofErr w:type="spellEnd"/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>Alumifos</w:t>
            </w:r>
            <w:proofErr w:type="spellEnd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 xml:space="preserve"> 56% Tablet</w:t>
            </w:r>
          </w:p>
        </w:tc>
      </w:tr>
      <w:tr w:rsidR="00A63F05" w:rsidRPr="00A63F05" w:rsidTr="00A63F0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F05" w:rsidRPr="00A63F05" w:rsidRDefault="00A63F05" w:rsidP="00A63F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F05" w:rsidRPr="00A63F05" w:rsidRDefault="00A63F05" w:rsidP="00A63F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>Celphos</w:t>
            </w:r>
            <w:proofErr w:type="spellEnd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 xml:space="preserve"> 56 % tablets</w:t>
            </w:r>
          </w:p>
        </w:tc>
      </w:tr>
      <w:tr w:rsidR="00A63F05" w:rsidRPr="00A63F05" w:rsidTr="00A63F0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F05" w:rsidRPr="00A63F05" w:rsidRDefault="00A63F05" w:rsidP="00A63F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F05" w:rsidRPr="00A63F05" w:rsidRDefault="00A63F05" w:rsidP="00A63F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>Fumitoxin</w:t>
            </w:r>
            <w:proofErr w:type="spellEnd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 xml:space="preserve"> 55 % tablets</w:t>
            </w:r>
          </w:p>
        </w:tc>
      </w:tr>
      <w:tr w:rsidR="00A63F05" w:rsidRPr="00A63F05" w:rsidTr="00A63F0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F05" w:rsidRPr="00A63F05" w:rsidRDefault="00A63F05" w:rsidP="00A63F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F05" w:rsidRPr="00A63F05" w:rsidRDefault="00A63F05" w:rsidP="00A63F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>Phostoxin</w:t>
            </w:r>
            <w:proofErr w:type="spellEnd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 xml:space="preserve"> 56% </w:t>
            </w:r>
            <w:proofErr w:type="spellStart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>viên</w:t>
            </w:r>
            <w:proofErr w:type="spellEnd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>tròn</w:t>
            </w:r>
            <w:proofErr w:type="spellEnd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>, viên dẹt</w:t>
            </w:r>
          </w:p>
        </w:tc>
      </w:tr>
      <w:tr w:rsidR="00A63F05" w:rsidRPr="00A63F05" w:rsidTr="00A63F0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F05" w:rsidRPr="00A63F05" w:rsidRDefault="00A63F05" w:rsidP="00A63F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F05" w:rsidRPr="00A63F05" w:rsidRDefault="00A63F05" w:rsidP="00A63F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>Quickphos</w:t>
            </w:r>
            <w:proofErr w:type="spellEnd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 xml:space="preserve"> 56 %</w:t>
            </w:r>
          </w:p>
        </w:tc>
      </w:tr>
      <w:tr w:rsidR="00A63F05" w:rsidRPr="00A63F05" w:rsidTr="00A63F05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Magnesium phosphide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>Magtoxin</w:t>
            </w:r>
            <w:proofErr w:type="spellEnd"/>
            <w:r w:rsidRPr="00A63F05">
              <w:rPr>
                <w:rFonts w:ascii="Arial" w:eastAsia="Times New Roman" w:hAnsi="Arial" w:cs="Arial"/>
                <w:sz w:val="20"/>
                <w:szCs w:val="20"/>
              </w:rPr>
              <w:br/>
              <w:t>66 tablets, pellet</w:t>
            </w:r>
          </w:p>
        </w:tc>
      </w:tr>
      <w:tr w:rsidR="00A63F05" w:rsidRPr="00A63F05" w:rsidTr="00A63F05">
        <w:tc>
          <w:tcPr>
            <w:tcW w:w="7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6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Methyl Bromide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3F05">
              <w:rPr>
                <w:rFonts w:ascii="Arial" w:eastAsia="Times New Roman" w:hAnsi="Arial" w:cs="Arial"/>
                <w:sz w:val="20"/>
                <w:szCs w:val="20"/>
              </w:rPr>
              <w:t>Bromine - Gas 98%, 100%</w:t>
            </w:r>
          </w:p>
        </w:tc>
      </w:tr>
      <w:tr w:rsidR="00A63F05" w:rsidRPr="00A63F05" w:rsidTr="00A63F0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F05" w:rsidRPr="00A63F05" w:rsidRDefault="00A63F05" w:rsidP="00A63F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F05" w:rsidRPr="00A63F05" w:rsidRDefault="00A63F05" w:rsidP="00A63F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3F05" w:rsidRPr="00A63F05" w:rsidRDefault="00A63F05" w:rsidP="00A63F0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>Dowfome</w:t>
            </w:r>
            <w:proofErr w:type="spellEnd"/>
            <w:r w:rsidRPr="00A63F05">
              <w:rPr>
                <w:rFonts w:ascii="Arial" w:eastAsia="Times New Roman" w:hAnsi="Arial" w:cs="Arial"/>
                <w:sz w:val="20"/>
                <w:szCs w:val="20"/>
              </w:rPr>
              <w:t xml:space="preserve"> 98 %</w:t>
            </w:r>
          </w:p>
        </w:tc>
      </w:tr>
    </w:tbl>
    <w:p w:rsidR="009F1DD8" w:rsidRDefault="009F1DD8">
      <w:bookmarkStart w:id="0" w:name="_GoBack"/>
      <w:bookmarkEnd w:id="0"/>
    </w:p>
    <w:sectPr w:rsidR="009F1DD8" w:rsidSect="005067FF">
      <w:pgSz w:w="11907" w:h="16840" w:code="9"/>
      <w:pgMar w:top="1134" w:right="1134" w:bottom="1134" w:left="144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63F05"/>
    <w:rsid w:val="00307EBF"/>
    <w:rsid w:val="003249B0"/>
    <w:rsid w:val="005067FF"/>
    <w:rsid w:val="009F1DD8"/>
    <w:rsid w:val="00A63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F0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3F05"/>
    <w:rPr>
      <w:b/>
      <w:bCs/>
    </w:rPr>
  </w:style>
  <w:style w:type="character" w:styleId="Emphasis">
    <w:name w:val="Emphasis"/>
    <w:basedOn w:val="DefaultParagraphFont"/>
    <w:uiPriority w:val="20"/>
    <w:qFormat/>
    <w:rsid w:val="00A63F0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63F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uatvietnam.vn/thue/nghi-quyet-1269-2011-ubtvqh12-uy-ban-thuong-vu-quoc-hoi-64479-d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uatvietnam.vn/thue/luat-57-2010-qh12-quoc-hoi-57540-d1.html" TargetMode="External"/><Relationship Id="rId5" Type="http://schemas.openxmlformats.org/officeDocument/2006/relationships/hyperlink" Target="https://luatvietnam.vn/co-cau-to-chuc/luat-57-2014-qh13-quoc-hoi-91371-d1.html" TargetMode="External"/><Relationship Id="rId4" Type="http://schemas.openxmlformats.org/officeDocument/2006/relationships/hyperlink" Target="https://luatvietnam.vn/tu-phap/hien-phap-18-2013-l-ctn-quoc-hoi-83320-d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TRAN HUU BUU</cp:lastModifiedBy>
  <cp:revision>2</cp:revision>
  <dcterms:created xsi:type="dcterms:W3CDTF">2018-10-26T07:52:00Z</dcterms:created>
  <dcterms:modified xsi:type="dcterms:W3CDTF">2018-10-26T07:52:00Z</dcterms:modified>
</cp:coreProperties>
</file>